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ACAB5" w14:textId="6FF92E1D" w:rsidR="00433FB6" w:rsidRPr="00217C8F" w:rsidRDefault="001E2BCC"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31 March 2015</w:t>
      </w:r>
    </w:p>
    <w:p w14:paraId="7E0F38D3" w14:textId="4F33B82A" w:rsidR="006955FE" w:rsidRPr="007E6564" w:rsidRDefault="001E2BCC"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Klein Tools launches the ultimate range of tool bags</w:t>
      </w:r>
    </w:p>
    <w:p w14:paraId="2903E3E6"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154AC21A" w14:textId="1F74E1E9" w:rsidR="00783B6B" w:rsidRDefault="00EF49EB"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Klein Tools has launched a brand new range of professional tool bags</w:t>
      </w:r>
      <w:r w:rsidR="00554E88">
        <w:rPr>
          <w:rFonts w:ascii="Calibri" w:hAnsi="Calibri" w:cs="Calibri"/>
          <w:bCs/>
          <w:color w:val="000000"/>
          <w:sz w:val="22"/>
          <w:szCs w:val="22"/>
          <w:lang w:val="en-GB"/>
        </w:rPr>
        <w:t xml:space="preserve"> </w:t>
      </w:r>
      <w:r>
        <w:rPr>
          <w:rFonts w:ascii="Calibri" w:hAnsi="Calibri" w:cs="Calibri"/>
          <w:bCs/>
          <w:color w:val="000000"/>
          <w:sz w:val="22"/>
          <w:szCs w:val="22"/>
          <w:lang w:val="en-GB"/>
        </w:rPr>
        <w:t>which no serious installer can afford to be without.</w:t>
      </w:r>
    </w:p>
    <w:p w14:paraId="70052739" w14:textId="77777777" w:rsidR="00EF49EB" w:rsidRDefault="00EF49EB" w:rsidP="00DA037E">
      <w:pPr>
        <w:autoSpaceDE w:val="0"/>
        <w:autoSpaceDN w:val="0"/>
        <w:adjustRightInd w:val="0"/>
        <w:spacing w:line="360" w:lineRule="auto"/>
        <w:rPr>
          <w:rFonts w:ascii="Calibri" w:hAnsi="Calibri" w:cs="Calibri"/>
          <w:bCs/>
          <w:color w:val="000000"/>
          <w:sz w:val="22"/>
          <w:szCs w:val="22"/>
          <w:lang w:val="en-GB"/>
        </w:rPr>
      </w:pPr>
    </w:p>
    <w:p w14:paraId="3A64AFA3" w14:textId="64DB9D0F" w:rsidR="00D123D1" w:rsidRDefault="00EF49EB"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full range </w:t>
      </w:r>
      <w:r w:rsidR="00554E88">
        <w:rPr>
          <w:rFonts w:ascii="Calibri" w:hAnsi="Calibri" w:cs="Calibri"/>
          <w:bCs/>
          <w:color w:val="000000"/>
          <w:sz w:val="22"/>
          <w:szCs w:val="22"/>
          <w:lang w:val="en-GB"/>
        </w:rPr>
        <w:t xml:space="preserve">of Tradesman Pro Organisers have </w:t>
      </w:r>
      <w:r w:rsidR="00124917">
        <w:rPr>
          <w:rFonts w:ascii="Calibri" w:hAnsi="Calibri" w:cs="Calibri"/>
          <w:bCs/>
          <w:color w:val="000000"/>
          <w:sz w:val="22"/>
          <w:szCs w:val="22"/>
          <w:lang w:val="en-GB"/>
        </w:rPr>
        <w:t xml:space="preserve">taken the market by storm </w:t>
      </w:r>
      <w:r w:rsidR="00D123D1">
        <w:rPr>
          <w:rFonts w:ascii="Calibri" w:hAnsi="Calibri" w:cs="Calibri"/>
          <w:bCs/>
          <w:color w:val="000000"/>
          <w:sz w:val="22"/>
          <w:szCs w:val="22"/>
          <w:lang w:val="en-GB"/>
        </w:rPr>
        <w:t xml:space="preserve">with their unique features such as the </w:t>
      </w:r>
      <w:r>
        <w:rPr>
          <w:rFonts w:ascii="Calibri" w:hAnsi="Calibri" w:cs="Calibri"/>
          <w:bCs/>
          <w:color w:val="000000"/>
          <w:sz w:val="22"/>
          <w:szCs w:val="22"/>
          <w:lang w:val="en-GB"/>
        </w:rPr>
        <w:t>bright orange interior</w:t>
      </w:r>
      <w:r w:rsidR="00D123D1">
        <w:rPr>
          <w:rFonts w:ascii="Calibri" w:hAnsi="Calibri" w:cs="Calibri"/>
          <w:bCs/>
          <w:color w:val="000000"/>
          <w:sz w:val="22"/>
          <w:szCs w:val="22"/>
          <w:lang w:val="en-GB"/>
        </w:rPr>
        <w:t>,</w:t>
      </w:r>
      <w:r>
        <w:rPr>
          <w:rFonts w:ascii="Calibri" w:hAnsi="Calibri" w:cs="Calibri"/>
          <w:bCs/>
          <w:color w:val="000000"/>
          <w:sz w:val="22"/>
          <w:szCs w:val="22"/>
          <w:lang w:val="en-GB"/>
        </w:rPr>
        <w:t xml:space="preserve"> </w:t>
      </w:r>
      <w:r w:rsidR="00D123D1">
        <w:rPr>
          <w:rFonts w:ascii="Calibri" w:hAnsi="Calibri" w:cs="Calibri"/>
          <w:bCs/>
          <w:color w:val="000000"/>
          <w:sz w:val="22"/>
          <w:szCs w:val="22"/>
          <w:lang w:val="en-GB"/>
        </w:rPr>
        <w:t>which ensures that installers</w:t>
      </w:r>
      <w:r>
        <w:rPr>
          <w:rFonts w:ascii="Calibri" w:hAnsi="Calibri" w:cs="Calibri"/>
          <w:bCs/>
          <w:color w:val="000000"/>
          <w:sz w:val="22"/>
          <w:szCs w:val="22"/>
          <w:lang w:val="en-GB"/>
        </w:rPr>
        <w:t xml:space="preserve"> no longer lose </w:t>
      </w:r>
      <w:r w:rsidR="00D123D1">
        <w:rPr>
          <w:rFonts w:ascii="Calibri" w:hAnsi="Calibri" w:cs="Calibri"/>
          <w:bCs/>
          <w:color w:val="000000"/>
          <w:sz w:val="22"/>
          <w:szCs w:val="22"/>
          <w:lang w:val="en-GB"/>
        </w:rPr>
        <w:t>their</w:t>
      </w:r>
      <w:r>
        <w:rPr>
          <w:rFonts w:ascii="Calibri" w:hAnsi="Calibri" w:cs="Calibri"/>
          <w:bCs/>
          <w:color w:val="000000"/>
          <w:sz w:val="22"/>
          <w:szCs w:val="22"/>
          <w:lang w:val="en-GB"/>
        </w:rPr>
        <w:t xml:space="preserve"> tools in that tool bag ‘black hole’</w:t>
      </w:r>
      <w:r w:rsidR="00D123D1">
        <w:rPr>
          <w:rFonts w:ascii="Calibri" w:hAnsi="Calibri" w:cs="Calibri"/>
          <w:bCs/>
          <w:color w:val="000000"/>
          <w:sz w:val="22"/>
          <w:szCs w:val="22"/>
          <w:lang w:val="en-GB"/>
        </w:rPr>
        <w:t>. The ra</w:t>
      </w:r>
      <w:r w:rsidR="00761B9F">
        <w:rPr>
          <w:rFonts w:ascii="Calibri" w:hAnsi="Calibri" w:cs="Calibri"/>
          <w:bCs/>
          <w:color w:val="000000"/>
          <w:sz w:val="22"/>
          <w:szCs w:val="22"/>
          <w:lang w:val="en-GB"/>
        </w:rPr>
        <w:t>nge is also built to last, with every bag</w:t>
      </w:r>
      <w:r w:rsidR="00D123D1">
        <w:rPr>
          <w:rFonts w:ascii="Calibri" w:hAnsi="Calibri" w:cs="Calibri"/>
          <w:bCs/>
          <w:color w:val="000000"/>
          <w:sz w:val="22"/>
          <w:szCs w:val="22"/>
          <w:lang w:val="en-GB"/>
        </w:rPr>
        <w:t xml:space="preserve"> crafted from </w:t>
      </w:r>
      <w:r w:rsidR="00D123D1">
        <w:rPr>
          <w:rFonts w:ascii="Calibri" w:hAnsi="Calibri" w:cs="Calibri"/>
          <w:bCs/>
          <w:color w:val="000000"/>
          <w:sz w:val="22"/>
          <w:szCs w:val="22"/>
          <w:lang w:val="en-GB"/>
        </w:rPr>
        <w:t>1680d Ballistic weave</w:t>
      </w:r>
      <w:r w:rsidR="00D123D1">
        <w:rPr>
          <w:rFonts w:ascii="Calibri" w:hAnsi="Calibri" w:cs="Calibri"/>
          <w:bCs/>
          <w:color w:val="000000"/>
          <w:sz w:val="22"/>
          <w:szCs w:val="22"/>
          <w:lang w:val="en-GB"/>
        </w:rPr>
        <w:t xml:space="preserve"> for extra durability</w:t>
      </w:r>
      <w:r w:rsidR="00D123D1" w:rsidRPr="00D123D1">
        <w:rPr>
          <w:rFonts w:ascii="Calibri" w:hAnsi="Calibri" w:cs="Calibri"/>
          <w:bCs/>
          <w:color w:val="000000"/>
          <w:sz w:val="22"/>
          <w:szCs w:val="22"/>
          <w:lang w:val="en-GB"/>
        </w:rPr>
        <w:t xml:space="preserve"> </w:t>
      </w:r>
      <w:r w:rsidR="00D123D1">
        <w:rPr>
          <w:rFonts w:ascii="Calibri" w:hAnsi="Calibri" w:cs="Calibri"/>
          <w:bCs/>
          <w:color w:val="000000"/>
          <w:sz w:val="22"/>
          <w:szCs w:val="22"/>
          <w:lang w:val="en-GB"/>
        </w:rPr>
        <w:t xml:space="preserve">and </w:t>
      </w:r>
      <w:r w:rsidR="00D123D1">
        <w:rPr>
          <w:rFonts w:ascii="Calibri" w:hAnsi="Calibri" w:cs="Calibri"/>
          <w:bCs/>
          <w:color w:val="000000"/>
          <w:sz w:val="22"/>
          <w:szCs w:val="22"/>
          <w:lang w:val="en-GB"/>
        </w:rPr>
        <w:t>a moulded bottom to protect</w:t>
      </w:r>
      <w:r w:rsidR="00D123D1">
        <w:rPr>
          <w:rFonts w:ascii="Calibri" w:hAnsi="Calibri" w:cs="Calibri"/>
          <w:bCs/>
          <w:color w:val="000000"/>
          <w:sz w:val="22"/>
          <w:szCs w:val="22"/>
          <w:lang w:val="en-GB"/>
        </w:rPr>
        <w:t xml:space="preserve"> tools from the outside elements.</w:t>
      </w:r>
    </w:p>
    <w:p w14:paraId="54344C9B" w14:textId="77777777" w:rsidR="00554E88" w:rsidRDefault="00554E88" w:rsidP="00DA037E">
      <w:pPr>
        <w:autoSpaceDE w:val="0"/>
        <w:autoSpaceDN w:val="0"/>
        <w:adjustRightInd w:val="0"/>
        <w:spacing w:line="360" w:lineRule="auto"/>
        <w:rPr>
          <w:rFonts w:ascii="Calibri" w:hAnsi="Calibri" w:cs="Calibri"/>
          <w:bCs/>
          <w:color w:val="000000"/>
          <w:sz w:val="22"/>
          <w:szCs w:val="22"/>
          <w:lang w:val="en-GB"/>
        </w:rPr>
      </w:pPr>
    </w:p>
    <w:p w14:paraId="756BC1AE" w14:textId="70080DEE" w:rsidR="00554E88" w:rsidRDefault="00554E88"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Another essential for every busy installer is pockets</w:t>
      </w:r>
      <w:r w:rsidR="006C30AD">
        <w:rPr>
          <w:rFonts w:ascii="Calibri" w:hAnsi="Calibri" w:cs="Calibri"/>
          <w:bCs/>
          <w:color w:val="000000"/>
          <w:sz w:val="22"/>
          <w:szCs w:val="22"/>
          <w:lang w:val="en-GB"/>
        </w:rPr>
        <w:t>,</w:t>
      </w:r>
      <w:r>
        <w:rPr>
          <w:rFonts w:ascii="Calibri" w:hAnsi="Calibri" w:cs="Calibri"/>
          <w:bCs/>
          <w:color w:val="000000"/>
          <w:sz w:val="22"/>
          <w:szCs w:val="22"/>
          <w:lang w:val="en-GB"/>
        </w:rPr>
        <w:t xml:space="preserve"> and the Tradesman Pro Organisers have them in abundance. The Ultimate Electrician</w:t>
      </w:r>
      <w:r w:rsidR="006C30AD">
        <w:rPr>
          <w:rFonts w:ascii="Calibri" w:hAnsi="Calibri" w:cs="Calibri"/>
          <w:bCs/>
          <w:color w:val="000000"/>
          <w:sz w:val="22"/>
          <w:szCs w:val="22"/>
          <w:lang w:val="en-GB"/>
        </w:rPr>
        <w:t>’</w:t>
      </w:r>
      <w:r>
        <w:rPr>
          <w:rFonts w:ascii="Calibri" w:hAnsi="Calibri" w:cs="Calibri"/>
          <w:bCs/>
          <w:color w:val="000000"/>
          <w:sz w:val="22"/>
          <w:szCs w:val="22"/>
          <w:lang w:val="en-GB"/>
        </w:rPr>
        <w:t xml:space="preserve">s Bag for example has 55 pockets to enable the storage of everything from screwdrivers and tape measures to power drills and laptops – ensuring that </w:t>
      </w:r>
      <w:r w:rsidR="00D123D1">
        <w:rPr>
          <w:rFonts w:ascii="Calibri" w:hAnsi="Calibri" w:cs="Calibri"/>
          <w:bCs/>
          <w:color w:val="000000"/>
          <w:sz w:val="22"/>
          <w:szCs w:val="22"/>
          <w:lang w:val="en-GB"/>
        </w:rPr>
        <w:t>the tools of your trade</w:t>
      </w:r>
      <w:r>
        <w:rPr>
          <w:rFonts w:ascii="Calibri" w:hAnsi="Calibri" w:cs="Calibri"/>
          <w:bCs/>
          <w:color w:val="000000"/>
          <w:sz w:val="22"/>
          <w:szCs w:val="22"/>
          <w:lang w:val="en-GB"/>
        </w:rPr>
        <w:t xml:space="preserve"> are always on hand and easy to find.</w:t>
      </w:r>
    </w:p>
    <w:p w14:paraId="76A6DE9C" w14:textId="77777777" w:rsidR="00140C5C" w:rsidRDefault="00140C5C" w:rsidP="00DA037E">
      <w:pPr>
        <w:autoSpaceDE w:val="0"/>
        <w:autoSpaceDN w:val="0"/>
        <w:adjustRightInd w:val="0"/>
        <w:spacing w:line="360" w:lineRule="auto"/>
        <w:rPr>
          <w:rFonts w:ascii="Calibri" w:hAnsi="Calibri" w:cs="Calibri"/>
          <w:bCs/>
          <w:color w:val="000000"/>
          <w:sz w:val="22"/>
          <w:szCs w:val="22"/>
          <w:lang w:val="en-GB"/>
        </w:rPr>
      </w:pPr>
    </w:p>
    <w:p w14:paraId="7AB70094" w14:textId="1CB55A83" w:rsidR="00140C5C" w:rsidRDefault="00140C5C"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A firm favourite with the installer is the Backpack, which has 39 pockets and a wide </w:t>
      </w:r>
      <w:r w:rsidR="00761B9F">
        <w:rPr>
          <w:rFonts w:ascii="Calibri" w:hAnsi="Calibri" w:cs="Calibri"/>
          <w:bCs/>
          <w:color w:val="000000"/>
          <w:sz w:val="22"/>
          <w:szCs w:val="22"/>
          <w:lang w:val="en-GB"/>
        </w:rPr>
        <w:t>opening that</w:t>
      </w:r>
      <w:r>
        <w:rPr>
          <w:rFonts w:ascii="Calibri" w:hAnsi="Calibri" w:cs="Calibri"/>
          <w:bCs/>
          <w:color w:val="000000"/>
          <w:sz w:val="22"/>
          <w:szCs w:val="22"/>
          <w:lang w:val="en-GB"/>
        </w:rPr>
        <w:t xml:space="preserve"> provides easy access to all of your test meters and tools. It also boasts a large front pocket which easily accommodates a 240ft fish tape</w:t>
      </w:r>
      <w:r w:rsidR="00D123D1">
        <w:rPr>
          <w:rFonts w:ascii="Calibri" w:hAnsi="Calibri" w:cs="Calibri"/>
          <w:bCs/>
          <w:color w:val="000000"/>
          <w:sz w:val="22"/>
          <w:szCs w:val="22"/>
          <w:lang w:val="en-GB"/>
        </w:rPr>
        <w:t xml:space="preserve"> and padded straps for extra comfort.</w:t>
      </w:r>
    </w:p>
    <w:p w14:paraId="05201C43" w14:textId="77777777" w:rsidR="002F6751" w:rsidRDefault="002F6751" w:rsidP="00DA037E">
      <w:pPr>
        <w:autoSpaceDE w:val="0"/>
        <w:autoSpaceDN w:val="0"/>
        <w:adjustRightInd w:val="0"/>
        <w:spacing w:line="360" w:lineRule="auto"/>
        <w:rPr>
          <w:rFonts w:ascii="Calibri" w:hAnsi="Calibri" w:cs="Calibri"/>
          <w:bCs/>
          <w:color w:val="000000"/>
          <w:sz w:val="22"/>
          <w:szCs w:val="22"/>
          <w:lang w:val="en-GB"/>
        </w:rPr>
      </w:pPr>
    </w:p>
    <w:p w14:paraId="3BE8ED56" w14:textId="446FC68F" w:rsidR="00D34D7D" w:rsidRDefault="002F6751"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1E2BCC">
        <w:rPr>
          <w:rFonts w:ascii="Calibri" w:hAnsi="Calibri" w:cs="Calibri"/>
          <w:bCs/>
          <w:color w:val="000000"/>
          <w:sz w:val="22"/>
          <w:szCs w:val="22"/>
          <w:lang w:val="en-GB"/>
        </w:rPr>
        <w:t xml:space="preserve">The Tradesman Pro Organisers have been designed with </w:t>
      </w:r>
      <w:r w:rsidR="00D123D1">
        <w:rPr>
          <w:rFonts w:ascii="Calibri" w:hAnsi="Calibri" w:cs="Calibri"/>
          <w:bCs/>
          <w:color w:val="000000"/>
          <w:sz w:val="22"/>
          <w:szCs w:val="22"/>
          <w:lang w:val="en-GB"/>
        </w:rPr>
        <w:t>the busy installer in mind. F</w:t>
      </w:r>
      <w:r w:rsidR="001E2BCC">
        <w:rPr>
          <w:rFonts w:ascii="Calibri" w:hAnsi="Calibri" w:cs="Calibri"/>
          <w:bCs/>
          <w:color w:val="000000"/>
          <w:sz w:val="22"/>
          <w:szCs w:val="22"/>
          <w:lang w:val="en-GB"/>
        </w:rPr>
        <w:t>eatures such as wide openings, durable construction and removable pockets are just three of the reasons why they have already proved to be a big hit with professionals who are looking for the ultimate tool bag to keep their tools safe and ready for action when out on a job.”</w:t>
      </w:r>
    </w:p>
    <w:p w14:paraId="71E5E284"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B2FDFD6" w14:textId="77777777" w:rsidR="00DA037E" w:rsidRPr="00C06A85" w:rsidRDefault="00140C5C"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27863019" w14:textId="77777777" w:rsidR="00D34D7D" w:rsidRDefault="00D34D7D" w:rsidP="004344DB">
      <w:pPr>
        <w:spacing w:line="360" w:lineRule="auto"/>
        <w:contextualSpacing/>
        <w:rPr>
          <w:rFonts w:ascii="Calibri" w:hAnsi="Calibri" w:cs="Calibri"/>
          <w:sz w:val="22"/>
          <w:szCs w:val="22"/>
          <w:lang w:val="en-GB"/>
        </w:rPr>
      </w:pPr>
    </w:p>
    <w:p w14:paraId="5825291B" w14:textId="77777777" w:rsidR="00761B9F" w:rsidRDefault="00761B9F" w:rsidP="004344DB">
      <w:pPr>
        <w:spacing w:line="360" w:lineRule="auto"/>
        <w:contextualSpacing/>
        <w:rPr>
          <w:rFonts w:ascii="Calibri" w:hAnsi="Calibri" w:cs="Calibri"/>
          <w:sz w:val="22"/>
          <w:szCs w:val="22"/>
          <w:lang w:val="en-GB"/>
        </w:rPr>
      </w:pPr>
    </w:p>
    <w:p w14:paraId="24A6D6CA" w14:textId="77777777" w:rsidR="00761B9F" w:rsidRDefault="00761B9F" w:rsidP="004344DB">
      <w:pPr>
        <w:spacing w:line="360" w:lineRule="auto"/>
        <w:contextualSpacing/>
        <w:rPr>
          <w:rFonts w:ascii="Calibri" w:hAnsi="Calibri" w:cs="Calibri"/>
          <w:sz w:val="22"/>
          <w:szCs w:val="22"/>
          <w:lang w:val="en-GB"/>
        </w:rPr>
      </w:pPr>
    </w:p>
    <w:p w14:paraId="2F8ABF07" w14:textId="77777777" w:rsidR="00761B9F" w:rsidRDefault="00761B9F" w:rsidP="004344DB">
      <w:pPr>
        <w:spacing w:line="360" w:lineRule="auto"/>
        <w:contextualSpacing/>
        <w:rPr>
          <w:rFonts w:ascii="Calibri" w:hAnsi="Calibri" w:cs="Calibri"/>
          <w:sz w:val="22"/>
          <w:szCs w:val="22"/>
          <w:lang w:val="en-GB"/>
        </w:rPr>
      </w:pPr>
    </w:p>
    <w:p w14:paraId="78CF397E" w14:textId="77777777" w:rsidR="00761B9F" w:rsidRDefault="00761B9F" w:rsidP="004344DB">
      <w:pPr>
        <w:spacing w:line="360" w:lineRule="auto"/>
        <w:contextualSpacing/>
        <w:rPr>
          <w:rFonts w:ascii="Calibri" w:hAnsi="Calibri" w:cs="Calibri"/>
          <w:sz w:val="22"/>
          <w:szCs w:val="22"/>
          <w:lang w:val="en-GB"/>
        </w:rPr>
      </w:pPr>
      <w:bookmarkStart w:id="0" w:name="_GoBack"/>
      <w:bookmarkEnd w:id="0"/>
    </w:p>
    <w:p w14:paraId="61EFF4EA" w14:textId="77777777" w:rsidR="00D34D7D" w:rsidRPr="007E6564" w:rsidRDefault="00D34D7D" w:rsidP="004344DB">
      <w:pPr>
        <w:spacing w:line="360" w:lineRule="auto"/>
        <w:contextualSpacing/>
        <w:rPr>
          <w:rFonts w:ascii="Calibri" w:hAnsi="Calibri" w:cs="Calibri"/>
          <w:sz w:val="22"/>
          <w:szCs w:val="22"/>
          <w:lang w:val="en-GB"/>
        </w:rPr>
      </w:pPr>
    </w:p>
    <w:p w14:paraId="4D9399F0"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3285595D"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40C22212"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72A1EBD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48E1BF78"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177B3E21"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6E0B422A"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1706" w14:textId="77777777" w:rsidR="00124917" w:rsidRDefault="00124917">
      <w:r>
        <w:separator/>
      </w:r>
    </w:p>
  </w:endnote>
  <w:endnote w:type="continuationSeparator" w:id="0">
    <w:p w14:paraId="3DB865C6" w14:textId="77777777" w:rsidR="00124917" w:rsidRDefault="0012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B9AE8" w14:textId="77777777" w:rsidR="00124917" w:rsidRDefault="00124917"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14370AD1" wp14:editId="1EA6BAD9">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7D5ADA87" wp14:editId="217E5E60">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63EB8" w14:textId="77777777" w:rsidR="00124917" w:rsidRDefault="00124917">
      <w:r>
        <w:separator/>
      </w:r>
    </w:p>
  </w:footnote>
  <w:footnote w:type="continuationSeparator" w:id="0">
    <w:p w14:paraId="04C4DA3D" w14:textId="77777777" w:rsidR="00124917" w:rsidRDefault="001249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E6C1" w14:textId="77777777" w:rsidR="00124917" w:rsidRDefault="00124917" w:rsidP="008F2E66">
    <w:pPr>
      <w:pStyle w:val="Header"/>
      <w:ind w:left="-90" w:right="270"/>
    </w:pPr>
    <w:r>
      <w:rPr>
        <w:noProof/>
      </w:rPr>
      <w:drawing>
        <wp:anchor distT="0" distB="0" distL="114300" distR="114300" simplePos="0" relativeHeight="251659776" behindDoc="1" locked="0" layoutInCell="1" allowOverlap="1" wp14:anchorId="1FC9F7AE" wp14:editId="222F8031">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3559133" wp14:editId="54B00A3F">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5524D" w14:textId="77777777" w:rsidR="00124917" w:rsidRDefault="00124917"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39734C29" w14:textId="77777777" w:rsidR="00124917" w:rsidRPr="004C494C" w:rsidRDefault="00124917"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085FFFD" wp14:editId="2FBA2C02">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24917"/>
    <w:rsid w:val="001311E0"/>
    <w:rsid w:val="00140C5C"/>
    <w:rsid w:val="00143974"/>
    <w:rsid w:val="001534A5"/>
    <w:rsid w:val="001651C5"/>
    <w:rsid w:val="00167B34"/>
    <w:rsid w:val="00191CAC"/>
    <w:rsid w:val="001C0B92"/>
    <w:rsid w:val="001E0573"/>
    <w:rsid w:val="001E2BCC"/>
    <w:rsid w:val="001E6EAC"/>
    <w:rsid w:val="00217C8F"/>
    <w:rsid w:val="002220B2"/>
    <w:rsid w:val="00234D36"/>
    <w:rsid w:val="00235298"/>
    <w:rsid w:val="002452E8"/>
    <w:rsid w:val="00250DA1"/>
    <w:rsid w:val="00272D82"/>
    <w:rsid w:val="002730B6"/>
    <w:rsid w:val="002776BC"/>
    <w:rsid w:val="0029233B"/>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D0E04"/>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1211"/>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4E88"/>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0AD"/>
    <w:rsid w:val="006C3886"/>
    <w:rsid w:val="006D466F"/>
    <w:rsid w:val="007052BB"/>
    <w:rsid w:val="007076FA"/>
    <w:rsid w:val="00730D2D"/>
    <w:rsid w:val="00761B9F"/>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3D1"/>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49EB"/>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342C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696008451">
      <w:bodyDiv w:val="1"/>
      <w:marLeft w:val="0"/>
      <w:marRight w:val="0"/>
      <w:marTop w:val="0"/>
      <w:marBottom w:val="0"/>
      <w:divBdr>
        <w:top w:val="none" w:sz="0" w:space="0" w:color="auto"/>
        <w:left w:val="none" w:sz="0" w:space="0" w:color="auto"/>
        <w:bottom w:val="none" w:sz="0" w:space="0" w:color="auto"/>
        <w:right w:val="none" w:sz="0" w:space="0" w:color="auto"/>
      </w:divBdr>
      <w:divsChild>
        <w:div w:id="1106658243">
          <w:marLeft w:val="0"/>
          <w:marRight w:val="0"/>
          <w:marTop w:val="0"/>
          <w:marBottom w:val="0"/>
          <w:divBdr>
            <w:top w:val="none" w:sz="0" w:space="0" w:color="auto"/>
            <w:left w:val="none" w:sz="0" w:space="0" w:color="auto"/>
            <w:bottom w:val="none" w:sz="0" w:space="0" w:color="auto"/>
            <w:right w:val="none" w:sz="0" w:space="0" w:color="auto"/>
          </w:divBdr>
          <w:divsChild>
            <w:div w:id="1931352384">
              <w:marLeft w:val="0"/>
              <w:marRight w:val="0"/>
              <w:marTop w:val="0"/>
              <w:marBottom w:val="0"/>
              <w:divBdr>
                <w:top w:val="none" w:sz="0" w:space="0" w:color="auto"/>
                <w:left w:val="none" w:sz="0" w:space="0" w:color="auto"/>
                <w:bottom w:val="none" w:sz="0" w:space="0" w:color="auto"/>
                <w:right w:val="none" w:sz="0" w:space="0" w:color="auto"/>
              </w:divBdr>
              <w:divsChild>
                <w:div w:id="2014798654">
                  <w:marLeft w:val="0"/>
                  <w:marRight w:val="0"/>
                  <w:marTop w:val="0"/>
                  <w:marBottom w:val="0"/>
                  <w:divBdr>
                    <w:top w:val="none" w:sz="0" w:space="0" w:color="auto"/>
                    <w:left w:val="none" w:sz="0" w:space="0" w:color="auto"/>
                    <w:bottom w:val="none" w:sz="0" w:space="0" w:color="auto"/>
                    <w:right w:val="none" w:sz="0" w:space="0" w:color="auto"/>
                  </w:divBdr>
                  <w:divsChild>
                    <w:div w:id="7368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87064-D6B6-6E43-B690-D2995AE0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355</Words>
  <Characters>2025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2376</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12</cp:revision>
  <cp:lastPrinted>2013-08-14T10:27:00Z</cp:lastPrinted>
  <dcterms:created xsi:type="dcterms:W3CDTF">2015-03-30T11:39:00Z</dcterms:created>
  <dcterms:modified xsi:type="dcterms:W3CDTF">2015-03-31T07:31:00Z</dcterms:modified>
</cp:coreProperties>
</file>